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Syllabus</w:t>
      </w:r>
      <w:r>
        <w:t xml:space="preserve"> </w:t>
      </w:r>
      <w:r>
        <w:t xml:space="preserve">-</w:t>
      </w:r>
      <w:r>
        <w:t xml:space="preserve"> </w:t>
      </w:r>
      <w:r>
        <w:t xml:space="preserve">Analog</w:t>
      </w:r>
      <w:r>
        <w:t xml:space="preserve"> </w:t>
      </w:r>
      <w:r>
        <w:t xml:space="preserve">Crime</w:t>
      </w:r>
      <w:r>
        <w:t xml:space="preserve"> </w:t>
      </w:r>
      <w:r>
        <w:t xml:space="preserve">Problem</w:t>
      </w:r>
    </w:p>
    <w:p>
      <w:pPr>
        <w:pStyle w:val="Author"/>
      </w:pPr>
      <w:r>
        <w:t xml:space="preserve">Scott</w:t>
      </w:r>
      <w:r>
        <w:t xml:space="preserve"> </w:t>
      </w:r>
      <w:r>
        <w:t xml:space="preserve">Jacques</w:t>
      </w:r>
    </w:p>
    <w:p>
      <w:pPr>
        <w:pStyle w:val="Date"/>
      </w:pPr>
      <w:r>
        <w:t xml:space="preserve">May</w:t>
      </w:r>
      <w:r>
        <w:t xml:space="preserve"> </w:t>
      </w:r>
      <w:r>
        <w:t xml:space="preserve">22,</w:t>
      </w:r>
      <w:r>
        <w:t xml:space="preserve"> </w:t>
      </w:r>
      <w:r>
        <w:t xml:space="preserve">2020</w:t>
      </w:r>
    </w:p>
    <w:p>
      <w:pPr>
        <w:pStyle w:val="FirstParagraph"/>
      </w:pPr>
      <w:r>
        <w:rPr>
          <w:b/>
        </w:rPr>
        <w:t xml:space="preserve">Notice:</w:t>
      </w:r>
      <w:r>
        <w:t xml:space="preserve"> </w:t>
      </w:r>
      <w:r>
        <w:t xml:space="preserve">This file is an auto-generated download and, as such, might include minor display or rendering errors. For the version of record, please visit the HTML version or download the PDF.</w:t>
      </w:r>
    </w:p>
    <w:p>
      <w:r>
        <w:pict>
          <v:rect style="width:0;height:1.5pt" o:hralign="center" o:hrstd="t" o:hr="t"/>
        </w:pict>
      </w:r>
    </w:p>
    <w:p>
      <w:pPr>
        <w:pStyle w:val="FirstParagraph"/>
      </w:pPr>
      <w:r>
        <w:rPr>
          <w:b/>
        </w:rPr>
        <w:t xml:space="preserve">Updated on:</w:t>
      </w:r>
      <w:r>
        <w:t xml:space="preserve"> </w:t>
      </w:r>
      <w:r>
        <w:t xml:space="preserve">Aug 27, 2020</w:t>
      </w:r>
    </w:p>
    <w:p>
      <w:pPr>
        <w:pStyle w:val="BodyText"/>
      </w:pPr>
      <w:r>
        <w:rPr>
          <w:b/>
        </w:rPr>
        <w:t xml:space="preserve">DOI:</w:t>
      </w:r>
      <w:r>
        <w:t xml:space="preserve"> </w:t>
      </w:r>
      <w:r>
        <w:t xml:space="preserve">10.21428/90a54840.b427b322</w:t>
      </w:r>
    </w:p>
    <w:p>
      <w:pPr>
        <w:pStyle w:val="BodyText"/>
      </w:pPr>
      <w:r>
        <w:rPr>
          <w:b/>
        </w:rPr>
        <w:t xml:space="preserve">License:</w:t>
      </w:r>
      <w:r>
        <w:t xml:space="preserve"> </w:t>
      </w:r>
      <w:hyperlink r:id="rId20">
        <w:r>
          <w:rPr>
            <w:rStyle w:val="Hyperlink"/>
          </w:rPr>
          <w:t xml:space="preserve">Creative Commons Attribution 4.0 International License (CC-BY 4.0)</w:t>
        </w:r>
      </w:hyperlink>
    </w:p>
    <w:p>
      <w:pPr>
        <w:pStyle w:val="Heading1"/>
      </w:pPr>
      <w:bookmarkStart w:id="21" w:name="analog-crime-problem"/>
      <w:r>
        <w:rPr>
          <w:b/>
        </w:rPr>
        <w:t xml:space="preserve">Analog Crime Problem</w:t>
      </w:r>
      <w:bookmarkEnd w:id="21"/>
    </w:p>
    <w:p>
      <w:pPr>
        <w:pStyle w:val="FirstParagraph"/>
      </w:pPr>
      <w:r>
        <w:t xml:space="preserve">At GSU, formally known as Social Science and the American Crime Problem (CRJU 2200)</w:t>
      </w:r>
    </w:p>
    <w:p>
      <w:pPr>
        <w:pStyle w:val="BodyText"/>
      </w:pPr>
      <w:r>
        <w:t xml:space="preserve">Summer 2020 | Online</w:t>
      </w:r>
    </w:p>
    <w:p>
      <w:pPr>
        <w:pStyle w:val="BodyText"/>
      </w:pPr>
      <w:r>
        <w:t xml:space="preserve">Instructor:</w:t>
      </w:r>
      <w:r>
        <w:t xml:space="preserve"> </w:t>
      </w:r>
      <w:hyperlink r:id="rId22">
        <w:r>
          <w:rPr>
            <w:rStyle w:val="Hyperlink"/>
          </w:rPr>
          <w:t xml:space="preserve">Dr. Scott Jacques</w:t>
        </w:r>
      </w:hyperlink>
    </w:p>
    <w:p>
      <w:pPr>
        <w:numPr>
          <w:ilvl w:val="0"/>
          <w:numId w:val="1001"/>
        </w:numPr>
      </w:pPr>
      <w:r>
        <w:rPr>
          <w:b/>
        </w:rPr>
        <w:t xml:space="preserve">Office:</w:t>
      </w:r>
      <w:r>
        <w:t xml:space="preserve"> </w:t>
      </w:r>
      <w:hyperlink r:id="rId23">
        <w:r>
          <w:rPr>
            <w:rStyle w:val="Hyperlink"/>
          </w:rPr>
          <w:t xml:space="preserve">55 Park Place</w:t>
        </w:r>
      </w:hyperlink>
      <w:r>
        <w:t xml:space="preserve">, 5th Floor</w:t>
      </w:r>
    </w:p>
    <w:p>
      <w:pPr>
        <w:numPr>
          <w:ilvl w:val="0"/>
          <w:numId w:val="1001"/>
        </w:numPr>
      </w:pPr>
      <w:r>
        <w:rPr>
          <w:b/>
        </w:rPr>
        <w:t xml:space="preserve">Second Life Home:</w:t>
      </w:r>
      <w:r>
        <w:t xml:space="preserve"> </w:t>
      </w:r>
      <w:hyperlink r:id="rId24">
        <w:r>
          <w:rPr>
            <w:rStyle w:val="Hyperlink"/>
          </w:rPr>
          <w:t xml:space="preserve">Click here</w:t>
        </w:r>
      </w:hyperlink>
    </w:p>
    <w:p>
      <w:pPr>
        <w:numPr>
          <w:ilvl w:val="0"/>
          <w:numId w:val="1001"/>
        </w:numPr>
      </w:pPr>
      <w:r>
        <w:rPr>
          <w:b/>
        </w:rPr>
        <w:t xml:space="preserve">Email:</w:t>
      </w:r>
      <w:r>
        <w:t xml:space="preserve"> </w:t>
      </w:r>
      <w:r>
        <w:t xml:space="preserve">sjacques1@gsu.edu;</w:t>
      </w:r>
      <w:r>
        <w:t xml:space="preserve"> </w:t>
      </w:r>
      <w:r>
        <w:rPr>
          <w:i/>
        </w:rPr>
        <w:t xml:space="preserve">not</w:t>
      </w:r>
      <w:r>
        <w:t xml:space="preserve"> </w:t>
      </w:r>
      <w:r>
        <w:t xml:space="preserve">sjacques1@gastate.view.usg.edu</w:t>
      </w:r>
    </w:p>
    <w:p>
      <w:pPr>
        <w:numPr>
          <w:ilvl w:val="0"/>
          <w:numId w:val="1001"/>
        </w:numPr>
      </w:pPr>
      <w:r>
        <w:rPr>
          <w:b/>
        </w:rPr>
        <w:t xml:space="preserve">Office hours:</w:t>
      </w:r>
      <w:r>
        <w:t xml:space="preserve"> </w:t>
      </w:r>
      <w:r>
        <w:t xml:space="preserve">By appointment only if not possible to handle in email</w:t>
      </w:r>
    </w:p>
    <w:p>
      <w:pPr>
        <w:pStyle w:val="FirstParagraph"/>
      </w:pPr>
      <w:r>
        <w:t xml:space="preserve">Department:</w:t>
      </w:r>
      <w:r>
        <w:t xml:space="preserve"> </w:t>
      </w:r>
      <w:hyperlink r:id="rId25">
        <w:r>
          <w:rPr>
            <w:rStyle w:val="Hyperlink"/>
          </w:rPr>
          <w:t xml:space="preserve">Criminal Justice &amp; Criminology</w:t>
        </w:r>
      </w:hyperlink>
      <w:r>
        <w:t xml:space="preserve"> </w:t>
      </w:r>
      <w:r>
        <w:t xml:space="preserve">(404-413-1020),</w:t>
      </w:r>
      <w:r>
        <w:t xml:space="preserve"> </w:t>
      </w:r>
      <w:hyperlink r:id="rId26">
        <w:r>
          <w:rPr>
            <w:rStyle w:val="Hyperlink"/>
          </w:rPr>
          <w:t xml:space="preserve">Andrew Young School of Policy Studies</w:t>
        </w:r>
      </w:hyperlink>
      <w:r>
        <w:t xml:space="preserve">,</w:t>
      </w:r>
      <w:r>
        <w:t xml:space="preserve"> </w:t>
      </w:r>
      <w:hyperlink r:id="rId27">
        <w:r>
          <w:rPr>
            <w:rStyle w:val="Hyperlink"/>
          </w:rPr>
          <w:t xml:space="preserve">Georgia State University</w:t>
        </w:r>
      </w:hyperlink>
    </w:p>
    <w:p>
      <w:pPr>
        <w:pStyle w:val="Heading3"/>
      </w:pPr>
      <w:bookmarkStart w:id="28" w:name="course-description"/>
      <w:r>
        <w:t xml:space="preserve">Course Description</w:t>
      </w:r>
      <w:bookmarkEnd w:id="28"/>
    </w:p>
    <w:p>
      <w:pPr>
        <w:pStyle w:val="FirstParagraph"/>
      </w:pPr>
      <w:r>
        <w:t xml:space="preserve">This course examines analog forms of crime and control. Crime refers to acts formally prohibited by a government. Social control is the defining and handling of wrongdoing. Crime involves offending and victimization and may be serious or disorderly. Control may be preventive or reactive, formal or informal. Crime and control are analog to the extent they involve continuous signals of data. Analog forms of crime and control vary across time and place due to a range of social scientific factors; so too do their consequences.</w:t>
      </w:r>
    </w:p>
    <w:p>
      <w:pPr>
        <w:pStyle w:val="Heading3"/>
      </w:pPr>
      <w:bookmarkStart w:id="29" w:name="objectives"/>
      <w:r>
        <w:t xml:space="preserve">Objectives</w:t>
      </w:r>
      <w:bookmarkEnd w:id="29"/>
    </w:p>
    <w:p>
      <w:pPr>
        <w:pStyle w:val="FirstParagraph"/>
      </w:pPr>
      <w:r>
        <w:t xml:space="preserve">By the end of the course, students should be able to:</w:t>
      </w:r>
    </w:p>
    <w:p>
      <w:pPr>
        <w:numPr>
          <w:ilvl w:val="0"/>
          <w:numId w:val="1002"/>
        </w:numPr>
      </w:pPr>
      <w:r>
        <w:t xml:space="preserve">Identify the difference between types of analog crime and control.</w:t>
      </w:r>
    </w:p>
    <w:p>
      <w:pPr>
        <w:numPr>
          <w:ilvl w:val="0"/>
          <w:numId w:val="1002"/>
        </w:numPr>
      </w:pPr>
      <w:r>
        <w:t xml:space="preserve">Understand the factors affecting whether, how, why they occur, and to what effect.</w:t>
      </w:r>
    </w:p>
    <w:p>
      <w:pPr>
        <w:numPr>
          <w:ilvl w:val="0"/>
          <w:numId w:val="1002"/>
        </w:numPr>
      </w:pPr>
      <w:r>
        <w:t xml:space="preserve">Critically evaluate theory, research, and policy on those issues.</w:t>
      </w:r>
    </w:p>
    <w:p>
      <w:pPr>
        <w:pStyle w:val="Heading2"/>
      </w:pPr>
      <w:bookmarkStart w:id="30" w:name="voluntary-community-activity"/>
      <w:r>
        <w:rPr>
          <w:b/>
        </w:rPr>
        <w:t xml:space="preserve">Voluntary Community Activity</w:t>
      </w:r>
      <w:bookmarkEnd w:id="30"/>
    </w:p>
    <w:p>
      <w:pPr>
        <w:pStyle w:val="FirstParagraph"/>
      </w:pPr>
      <w:r>
        <w:t xml:space="preserve">A voluntary (i.e., ungraded) community activity is available throughout the course period. It is meant to “help you help each other” and create a peer community:</w:t>
      </w:r>
    </w:p>
    <w:p>
      <w:pPr>
        <w:numPr>
          <w:ilvl w:val="0"/>
          <w:numId w:val="1003"/>
        </w:numPr>
      </w:pPr>
      <w:r>
        <w:t xml:space="preserve">Forum: Students post and answer questions about the course. Any question or answer is allowed, but be careful not to plagiarize any answer.</w:t>
      </w:r>
    </w:p>
    <w:p>
      <w:pPr>
        <w:pStyle w:val="Heading2"/>
      </w:pPr>
      <w:bookmarkStart w:id="31" w:name="assignments"/>
      <w:r>
        <w:rPr>
          <w:b/>
        </w:rPr>
        <w:t xml:space="preserve">Assignments</w:t>
      </w:r>
      <w:bookmarkEnd w:id="31"/>
    </w:p>
    <w:p>
      <w:pPr>
        <w:pStyle w:val="FirstParagraph"/>
      </w:pPr>
      <w:r>
        <w:t xml:space="preserve">There is an Introductory Quiz. After that, there are two types of assignments: Annotate Books and Your Book Club; the pages by those titles have further details. As mentioned below, you also will want to review the page, Grading &amp; Submitting Assignments.</w:t>
      </w:r>
    </w:p>
    <w:p>
      <w:pPr>
        <w:pStyle w:val="Heading2"/>
      </w:pPr>
      <w:bookmarkStart w:id="32" w:name="course-policies"/>
      <w:r>
        <w:rPr>
          <w:b/>
        </w:rPr>
        <w:t xml:space="preserve">Course Policies</w:t>
      </w:r>
      <w:bookmarkEnd w:id="32"/>
    </w:p>
    <w:p>
      <w:pPr>
        <w:pStyle w:val="Heading3"/>
      </w:pPr>
      <w:bookmarkStart w:id="33" w:name="grading"/>
      <w:r>
        <w:t xml:space="preserve">Grading</w:t>
      </w:r>
      <w:bookmarkEnd w:id="33"/>
    </w:p>
    <w:p>
      <w:pPr>
        <w:pStyle w:val="FirstParagraph"/>
      </w:pPr>
      <w:r>
        <w:t xml:space="preserve">The Introductory Quiz counts toward 5% of your final grade. Annotate Books counts for 45%. So too does Your Book Club. For further details on how those latter two assignments are graded, see the page for Grading &amp; Submitting Assignments.</w:t>
      </w:r>
    </w:p>
    <w:p>
      <w:pPr>
        <w:pStyle w:val="BodyText"/>
      </w:pPr>
      <w:r>
        <w:t xml:space="preserve">The letter grade scale for the final grade is as follows. I do not round grades.</w:t>
      </w:r>
    </w:p>
    <w:p>
      <w:pPr>
        <w:numPr>
          <w:ilvl w:val="0"/>
          <w:numId w:val="1004"/>
        </w:numPr>
      </w:pPr>
      <w:r>
        <w:t xml:space="preserve">A+ is 100-97; A is 96.9-93; A- is 92.9-90</w:t>
      </w:r>
    </w:p>
    <w:p>
      <w:pPr>
        <w:numPr>
          <w:ilvl w:val="0"/>
          <w:numId w:val="1004"/>
        </w:numPr>
      </w:pPr>
      <w:r>
        <w:t xml:space="preserve">B+ is 89.9-87; B is 86.9-83; B- is 82.9-80</w:t>
      </w:r>
    </w:p>
    <w:p>
      <w:pPr>
        <w:numPr>
          <w:ilvl w:val="0"/>
          <w:numId w:val="1004"/>
        </w:numPr>
      </w:pPr>
      <w:r>
        <w:t xml:space="preserve">C+ is 79.9-77; C is 76.9-73; C- is 72.9-70</w:t>
      </w:r>
    </w:p>
    <w:p>
      <w:pPr>
        <w:numPr>
          <w:ilvl w:val="0"/>
          <w:numId w:val="1004"/>
        </w:numPr>
      </w:pPr>
      <w:r>
        <w:t xml:space="preserve">D is 69.9-60</w:t>
      </w:r>
    </w:p>
    <w:p>
      <w:pPr>
        <w:numPr>
          <w:ilvl w:val="0"/>
          <w:numId w:val="1004"/>
        </w:numPr>
      </w:pPr>
      <w:r>
        <w:t xml:space="preserve">F is 59.9 or below</w:t>
      </w:r>
    </w:p>
    <w:p>
      <w:pPr>
        <w:pStyle w:val="Heading3"/>
      </w:pPr>
      <w:bookmarkStart w:id="34" w:name="grade-disputes"/>
      <w:r>
        <w:t xml:space="preserve">Grade Disputes</w:t>
      </w:r>
      <w:bookmarkEnd w:id="34"/>
    </w:p>
    <w:p>
      <w:pPr>
        <w:pStyle w:val="FirstParagraph"/>
      </w:pPr>
      <w:r>
        <w:t xml:space="preserve">You must bring all grade disputes to my attention within 7 days of the grade’s posting. After, I will not revisit, discuss, explain grades brought to my attention.  </w:t>
      </w:r>
    </w:p>
    <w:p>
      <w:pPr>
        <w:pStyle w:val="Heading3"/>
      </w:pPr>
      <w:bookmarkStart w:id="35" w:name="due-dates-times-late-submissions"/>
      <w:r>
        <w:t xml:space="preserve">Due Dates &amp; Times + Late Submissions</w:t>
      </w:r>
      <w:bookmarkEnd w:id="35"/>
    </w:p>
    <w:p>
      <w:pPr>
        <w:pStyle w:val="FirstParagraph"/>
      </w:pPr>
      <w:r>
        <w:t xml:space="preserve">This online course is asynchronous (i.e., we never “meet”), with the exception of Your Book Club. However, assignments must be submitted by the due dates and times. The Course Schedule specifies the due dates and times. For information on Grading &amp; Submitting Assignments, see the page with that tile. Late submissions will only be accepted in extreme circumstances (e.g., death in the family, hospitalization, etc.) and when documentation can be provided. Also, if you have what I deem an excusable absence, it must be brought to my attention within 24 hours of the problem’s occurrence; otherwise, I will not allow an extension. I highly recommend you complete assignments ASAP, not wait until the end. To reiterate: “Technology problems” are not as an excuse for late submissions.</w:t>
      </w:r>
    </w:p>
    <w:p>
      <w:pPr>
        <w:pStyle w:val="Heading3"/>
      </w:pPr>
      <w:bookmarkStart w:id="36" w:name="technology-problems"/>
      <w:r>
        <w:t xml:space="preserve">Technology Problems</w:t>
      </w:r>
      <w:bookmarkEnd w:id="36"/>
    </w:p>
    <w:p>
      <w:pPr>
        <w:pStyle w:val="FirstParagraph"/>
      </w:pPr>
      <w:r>
        <w:t xml:space="preserve">I do not help with most technology problems. This is due to a combination of not knowing how to help; for what I do know, I already provided detailed instructions in the How To pages; and, it is important for you to practice getting help on your own.</w:t>
      </w:r>
    </w:p>
    <w:p>
      <w:pPr>
        <w:pStyle w:val="BodyText"/>
      </w:pPr>
      <w:r>
        <w:t xml:space="preserve">For problems with iCollege, the GSU Library, or of a more personal nature (e.g., getting your internet or laptop to work), contact</w:t>
      </w:r>
      <w:r>
        <w:t xml:space="preserve"> </w:t>
      </w:r>
      <w:hyperlink r:id="rId37">
        <w:r>
          <w:rPr>
            <w:rStyle w:val="Hyperlink"/>
          </w:rPr>
          <w:t xml:space="preserve">GSU technology services help desk</w:t>
        </w:r>
      </w:hyperlink>
      <w:r>
        <w:t xml:space="preserve">, email</w:t>
      </w:r>
      <w:r>
        <w:t xml:space="preserve"> </w:t>
      </w:r>
      <w:hyperlink r:id="rId38">
        <w:r>
          <w:rPr>
            <w:rStyle w:val="Hyperlink"/>
          </w:rPr>
          <w:t xml:space="preserve">help@gsu.edu</w:t>
        </w:r>
      </w:hyperlink>
      <w:r>
        <w:t xml:space="preserve">, or call 404-413-4357.</w:t>
      </w:r>
    </w:p>
    <w:p>
      <w:pPr>
        <w:pStyle w:val="BodyText"/>
      </w:pPr>
      <w:r>
        <w:t xml:space="preserve">For problems with your meeting platform, you should consult its help pages.</w:t>
      </w:r>
    </w:p>
    <w:p>
      <w:pPr>
        <w:pStyle w:val="Heading3"/>
      </w:pPr>
      <w:bookmarkStart w:id="39" w:name="plagiarism"/>
      <w:r>
        <w:t xml:space="preserve">Plagiarism</w:t>
      </w:r>
      <w:bookmarkEnd w:id="39"/>
    </w:p>
    <w:p>
      <w:pPr>
        <w:pStyle w:val="FirstParagraph"/>
      </w:pPr>
      <w:r>
        <w:t xml:space="preserve">In this class, like any other, plagiarism is prohibited. It is your responsibility to know what it is; see</w:t>
      </w:r>
      <w:r>
        <w:t xml:space="preserve"> </w:t>
      </w:r>
      <w:hyperlink r:id="rId40">
        <w:r>
          <w:rPr>
            <w:rStyle w:val="Hyperlink"/>
          </w:rPr>
          <w:t xml:space="preserve">GSU’s Student Code of the Conduct</w:t>
        </w:r>
      </w:hyperlink>
      <w:r>
        <w:t xml:space="preserve">. Ignorance is not an excuse. Plagiarism, and other forms of academic dishonesty, will be punished with a grade of 0 for the course.</w:t>
      </w:r>
    </w:p>
    <w:p>
      <w:pPr>
        <w:pStyle w:val="Heading3"/>
      </w:pPr>
      <w:bookmarkStart w:id="41" w:name="email-policy"/>
      <w:r>
        <w:t xml:space="preserve">Email Policy </w:t>
      </w:r>
      <w:bookmarkEnd w:id="41"/>
    </w:p>
    <w:p>
      <w:pPr>
        <w:pStyle w:val="FirstParagraph"/>
      </w:pPr>
      <w:r>
        <w:t xml:space="preserve">Before emailing me: Whenever possible, you should instead ask questions using the Forum. When emailing me, you must do the following or I will not reply:</w:t>
      </w:r>
    </w:p>
    <w:p>
      <w:pPr>
        <w:numPr>
          <w:ilvl w:val="0"/>
          <w:numId w:val="1005"/>
        </w:numPr>
      </w:pPr>
      <w:r>
        <w:t xml:space="preserve">Email me at sjacques1@gsu.edu, not via the address associated with iCollege</w:t>
      </w:r>
    </w:p>
    <w:p>
      <w:pPr>
        <w:numPr>
          <w:ilvl w:val="0"/>
          <w:numId w:val="1005"/>
        </w:numPr>
      </w:pPr>
      <w:r>
        <w:t xml:space="preserve">Send the email from your GSU email account</w:t>
      </w:r>
    </w:p>
    <w:p>
      <w:pPr>
        <w:numPr>
          <w:ilvl w:val="0"/>
          <w:numId w:val="1005"/>
        </w:numPr>
      </w:pPr>
      <w:r>
        <w:t xml:space="preserve">Not ask me something that answered elsewhere (e.g., in the syllabus)</w:t>
      </w:r>
    </w:p>
    <w:p>
      <w:pPr>
        <w:numPr>
          <w:ilvl w:val="0"/>
          <w:numId w:val="1005"/>
        </w:numPr>
      </w:pPr>
      <w:r>
        <w:t xml:space="preserve">Ask a clear question</w:t>
      </w:r>
    </w:p>
    <w:p>
      <w:pPr>
        <w:pStyle w:val="FirstParagraph"/>
      </w:pPr>
      <w:r>
        <w:t xml:space="preserve">If I do not respond to your email, look to see whether it did all of the above. If it did but I didn’t reply within 24 hours, please resend your original email.</w:t>
      </w:r>
    </w:p>
    <w:p>
      <w:pPr>
        <w:pStyle w:val="Heading2"/>
      </w:pPr>
      <w:bookmarkStart w:id="42" w:name="gsu-policies"/>
      <w:r>
        <w:rPr>
          <w:b/>
        </w:rPr>
        <w:t xml:space="preserve">GSU Policies</w:t>
      </w:r>
      <w:bookmarkEnd w:id="42"/>
    </w:p>
    <w:p>
      <w:pPr>
        <w:pStyle w:val="Heading3"/>
      </w:pPr>
      <w:bookmarkStart w:id="43" w:name="disabilities"/>
      <w:r>
        <w:t xml:space="preserve">Disabilities </w:t>
      </w:r>
      <w:bookmarkEnd w:id="43"/>
    </w:p>
    <w:p>
      <w:pPr>
        <w:pStyle w:val="FirstParagraph"/>
      </w:pPr>
      <w:r>
        <w:t xml:space="preserve">If who wish to request accommodation for a disability, you may do so by registering with the Office of Disability Services. You may only be accommodated upon issuance by the Office of Disability Services of a signed Accommodation Plan and are responsible for providing a copy of that plan to the instructor in which an accommodation is sought.  The Office of Disability Services is located in the Student Center, Suite 230.</w:t>
      </w:r>
    </w:p>
    <w:p>
      <w:pPr>
        <w:pStyle w:val="Heading3"/>
      </w:pPr>
      <w:bookmarkStart w:id="44" w:name="wwf-policy"/>
      <w:r>
        <w:t xml:space="preserve">W/WF Policy</w:t>
      </w:r>
      <w:bookmarkEnd w:id="44"/>
    </w:p>
    <w:p>
      <w:pPr>
        <w:pStyle w:val="FirstParagraph"/>
      </w:pPr>
      <w:r>
        <w:rPr>
          <w:b/>
        </w:rPr>
        <w:t xml:space="preserve"> </w:t>
      </w:r>
      <w:r>
        <w:t xml:space="preserve">As of Fall 2006 semester, all undergraduate students are allowed to withdraw with a grade of W a maximum of six (6) times in their entire careers at Georgia State. Students who exceed the limit will automatically receive a grade of WF. (WFs count as Fs for GPA calculation purposes.) Withdrawals taken before Fall 2006 will not count against the limit and neither will hardship withdrawals, military withdrawals, withdrawals at other institutions, or withdrawals after the midpoint. (Withdrawals after the midpoint are automatically given a grade of WF.) Please note, the instructor of a course will not decide whether a student who withdraws before the midpoint receives a W or a WF. Instead, students with less than 6 withdrawals will automatically receive a W and students with 6 or more withdrawals will automatically receive a WF.</w:t>
      </w:r>
    </w:p>
    <w:p>
      <w:pPr>
        <w:pStyle w:val="Heading3"/>
      </w:pPr>
      <w:bookmarkStart w:id="45" w:name="online-course-evaluations"/>
      <w:r>
        <w:t xml:space="preserve">Online Course Evaluations</w:t>
      </w:r>
      <w:bookmarkEnd w:id="45"/>
    </w:p>
    <w:p>
      <w:pPr>
        <w:pStyle w:val="FirstParagraph"/>
      </w:pPr>
      <w:r>
        <w:t xml:space="preserve"> Your constructive assessment of this course plays an indispensable role in shaping education at Georgia State. Upon completing the course, please take time to fill out the online course evaluation. Please be respectful when filling out your evaluation, as they really do matter and are read by many people.</w:t>
      </w:r>
    </w:p>
    <w:p>
      <w:pPr>
        <w:pStyle w:val="Heading3"/>
      </w:pPr>
      <w:bookmarkStart w:id="46" w:name="note"/>
      <w:r>
        <w:t xml:space="preserve">Note</w:t>
      </w:r>
      <w:bookmarkEnd w:id="46"/>
    </w:p>
    <w:p>
      <w:pPr>
        <w:pStyle w:val="FirstParagraph"/>
      </w:pPr>
      <w:r>
        <w:t xml:space="preserve">The course syllabus provides a general plan for the course; deviations may be necessary.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26" Type="http://schemas.openxmlformats.org/officeDocument/2006/relationships/hyperlink" Target="https://aysps.gsu.edu/" TargetMode="External"/><Relationship Id="rId3" Type="http://schemas.openxmlformats.org/officeDocument/2006/relationships/settings" Target="settings.xml"/><Relationship Id="rId42" Type="http://schemas.openxmlformats.org/officeDocument/2006/relationships/customXml" Target="../customXml/item2.xml"/><Relationship Id="rId7" Type="http://schemas.openxmlformats.org/officeDocument/2006/relationships/footnotes" Target="footnotes.xml"/><Relationship Id="rId25" Type="http://schemas.openxmlformats.org/officeDocument/2006/relationships/hyperlink" Target="https://aysps.gsu.edu/criminal-justice-criminology/" TargetMode="External"/><Relationship Id="rId38" Type="http://schemas.openxmlformats.org/officeDocument/2006/relationships/hyperlink" Target="mailto:help@gsu.edu" TargetMode="External"/><Relationship Id="rId2" Type="http://schemas.openxmlformats.org/officeDocument/2006/relationships/styles" Target="styles.xml"/><Relationship Id="rId20" Type="http://schemas.openxmlformats.org/officeDocument/2006/relationships/hyperlink" Target="https://creativecommons.org/licenses/by/4.0/"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 Id="rId24" Type="http://schemas.openxmlformats.org/officeDocument/2006/relationships/hyperlink" Target="http://maps.secondlife.com/secondlife/Elcondor/7/98/78" TargetMode="External"/><Relationship Id="rId37" Type="http://schemas.openxmlformats.org/officeDocument/2006/relationships/hyperlink" Target="http://technology.gsu.edu/help-center" TargetMode="External"/><Relationship Id="rId40" Type="http://schemas.openxmlformats.org/officeDocument/2006/relationships/hyperlink" Target="https://codeofconduct.gsu.edu/" TargetMode="External"/><Relationship Id="rId5" Type="http://schemas.openxmlformats.org/officeDocument/2006/relationships/fontTable" Target="fontTable.xml"/><Relationship Id="rId23" Type="http://schemas.openxmlformats.org/officeDocument/2006/relationships/hyperlink" Target="https://goo.gl/maps/ijyXtVVyQn2ybZWN7" TargetMode="External"/><Relationship Id="rId4" Type="http://schemas.openxmlformats.org/officeDocument/2006/relationships/webSettings" Target="webSettings.xml"/><Relationship Id="rId27" Type="http://schemas.openxmlformats.org/officeDocument/2006/relationships/hyperlink" Target="https://www.gsu.edu/" TargetMode="External"/><Relationship Id="rId22" Type="http://schemas.openxmlformats.org/officeDocument/2006/relationships/hyperlink" Target="https://www.scottjacques.us/" TargetMode="External"/><Relationship Id="rId4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6" Type="http://schemas.openxmlformats.org/officeDocument/2006/relationships/hyperlink" Target="https://aysps.gsu.edu/" TargetMode="External"/><Relationship Id="rId25" Type="http://schemas.openxmlformats.org/officeDocument/2006/relationships/hyperlink" Target="https://aysps.gsu.edu/criminal-justice-criminology/" TargetMode="External"/><Relationship Id="rId38" Type="http://schemas.openxmlformats.org/officeDocument/2006/relationships/hyperlink" Target="mailto:help@gsu.edu" TargetMode="External"/><Relationship Id="rId20" Type="http://schemas.openxmlformats.org/officeDocument/2006/relationships/hyperlink" Target="https://creativecommons.org/licenses/by/4.0/" TargetMode="External"/><Relationship Id="rId24" Type="http://schemas.openxmlformats.org/officeDocument/2006/relationships/hyperlink" Target="http://maps.secondlife.com/secondlife/Elcondor/7/98/78" TargetMode="External"/><Relationship Id="rId37" Type="http://schemas.openxmlformats.org/officeDocument/2006/relationships/hyperlink" Target="http://technology.gsu.edu/help-center" TargetMode="External"/><Relationship Id="rId40" Type="http://schemas.openxmlformats.org/officeDocument/2006/relationships/hyperlink" Target="https://codeofconduct.gsu.edu/" TargetMode="External"/><Relationship Id="rId23" Type="http://schemas.openxmlformats.org/officeDocument/2006/relationships/hyperlink" Target="https://goo.gl/maps/ijyXtVVyQn2ybZWN7" TargetMode="External"/><Relationship Id="rId27" Type="http://schemas.openxmlformats.org/officeDocument/2006/relationships/hyperlink" Target="https://www.gsu.edu/" TargetMode="External"/><Relationship Id="rId22" Type="http://schemas.openxmlformats.org/officeDocument/2006/relationships/hyperlink" Target="https://www.scottjacque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62A7387-437B-4228-A139-06E1CC29B664}"/>
</file>

<file path=customXml/itemProps2.xml><?xml version="1.0" encoding="utf-8"?>
<ds:datastoreItem xmlns:ds="http://schemas.openxmlformats.org/officeDocument/2006/customXml" ds:itemID="{7E0D4B11-68CA-4752-AA69-FF15EDFF2ED0}"/>
</file>

<file path=customXml/itemProps3.xml><?xml version="1.0" encoding="utf-8"?>
<ds:datastoreItem xmlns:ds="http://schemas.openxmlformats.org/officeDocument/2006/customXml" ds:itemID="{39277444-5E83-4779-8FC1-FE25160F0786}"/>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 Analog Crime Problem</dc:title>
  <dc:creator>Scott Jacques</dc:creator>
  <cp:keywords/>
  <dcterms:created xsi:type="dcterms:W3CDTF">2020-10-09T20:08:42Z</dcterms:created>
  <dcterms:modified xsi:type="dcterms:W3CDTF">2020-10-09T20:08:42Z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
  </property>
  <property fmtid="{D5CDD505-2E9C-101B-9397-08002B2CF9AE}" pid="3" name="date">
    <vt:lpwstr>May 22, 2020</vt:lpwstr>
  </property>
  <property fmtid="{D5CDD505-2E9C-101B-9397-08002B2CF9AE}" pid="4" name="journal">
    <vt:lpwstr/>
  </property>
  <property fmtid="{D5CDD505-2E9C-101B-9397-08002B2CF9AE}" pid="5" name="ContentTypeId">
    <vt:lpwstr>0x0101007222C76DF9BD8349B0CA3C9A1AA4C548</vt:lpwstr>
  </property>
</Properties>
</file>